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联系方式：0898-65710083</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7" w:edGrp="everyone"/>
      <w:r>
        <w:rPr>
          <w:rFonts w:hint="eastAsia" w:ascii="仿宋_GB2312" w:hAnsi="仿宋_GB2312" w:eastAsia="仿宋_GB2312" w:cs="仿宋_GB2312"/>
          <w:sz w:val="32"/>
          <w:szCs w:val="32"/>
        </w:rPr>
        <w:t>□</w:t>
      </w:r>
      <w:permEnd w:id="17"/>
      <w:r>
        <w:rPr>
          <w:rFonts w:hint="eastAsia" w:ascii="仿宋_GB2312" w:hAnsi="仿宋_GB2312" w:eastAsia="仿宋_GB2312" w:cs="仿宋_GB2312"/>
          <w:sz w:val="32"/>
          <w:szCs w:val="32"/>
        </w:rPr>
        <w:t>；按月结算支付</w:t>
      </w:r>
      <w:permStart w:id="18" w:edGrp="everyone"/>
      <w:r>
        <w:rPr>
          <w:rFonts w:hint="eastAsia" w:ascii="仿宋_GB2312" w:hAnsi="仿宋_GB2312" w:eastAsia="仿宋_GB2312" w:cs="仿宋_GB2312"/>
          <w:sz w:val="32"/>
          <w:szCs w:val="32"/>
          <w:lang w:eastAsia="zh-CN"/>
        </w:rPr>
        <w:t>☑</w:t>
      </w:r>
      <w:permEnd w:id="18"/>
      <w:r>
        <w:rPr>
          <w:rFonts w:hint="eastAsia" w:ascii="仿宋_GB2312" w:hAnsi="仿宋_GB2312" w:eastAsia="仿宋_GB2312" w:cs="仿宋_GB2312"/>
          <w:sz w:val="32"/>
          <w:szCs w:val="32"/>
        </w:rPr>
        <w:t>；按季度结算支付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；按半年度结算支付</w:t>
      </w:r>
      <w:permStart w:id="20" w:edGrp="everyone"/>
      <w:r>
        <w:rPr>
          <w:rFonts w:hint="eastAsia" w:ascii="仿宋_GB2312" w:hAnsi="仿宋_GB2312" w:eastAsia="仿宋_GB2312" w:cs="仿宋_GB2312"/>
          <w:sz w:val="32"/>
          <w:szCs w:val="32"/>
          <w:lang w:eastAsia="zh-CN"/>
        </w:rPr>
        <w:t>□</w:t>
      </w:r>
      <w:permEnd w:id="20"/>
      <w:r>
        <w:rPr>
          <w:rFonts w:hint="eastAsia" w:ascii="仿宋_GB2312" w:hAnsi="仿宋_GB2312" w:eastAsia="仿宋_GB2312" w:cs="仿宋_GB2312"/>
          <w:sz w:val="32"/>
          <w:szCs w:val="32"/>
        </w:rPr>
        <w:t>；按年度结算支付</w:t>
      </w:r>
      <w:permStart w:id="21" w:edGrp="everyone"/>
      <w:r>
        <w:rPr>
          <w:rFonts w:hint="eastAsia" w:ascii="仿宋_GB2312" w:hAnsi="仿宋_GB2312" w:eastAsia="仿宋_GB2312" w:cs="仿宋_GB2312"/>
          <w:sz w:val="32"/>
          <w:szCs w:val="32"/>
        </w:rPr>
        <w:t>□</w:t>
      </w:r>
      <w:permEnd w:id="21"/>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2" w:edGrp="everyone"/>
      <w:bookmarkStart w:id="6" w:name="_GoBack"/>
      <w:bookmarkEnd w:id="6"/>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 xml:space="preserve">  增值税普通发票</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 xml:space="preserve"> 次日起</w:t>
      </w:r>
      <w:permStart w:id="2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4"/>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5" w:edGrp="everyone"/>
      <w:r>
        <w:rPr>
          <w:rFonts w:hint="eastAsia" w:ascii="仿宋_GB2312" w:hAnsi="仿宋_GB2312" w:eastAsia="仿宋_GB2312" w:cs="仿宋_GB2312"/>
          <w:sz w:val="32"/>
          <w:szCs w:val="32"/>
        </w:rPr>
        <w:t xml:space="preserve">                  </w:t>
      </w:r>
      <w:permEnd w:id="25"/>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6" w:edGrp="everyone"/>
      <w:r>
        <w:rPr>
          <w:rFonts w:hint="eastAsia" w:ascii="仿宋_GB2312" w:hAnsi="仿宋_GB2312" w:eastAsia="仿宋_GB2312" w:cs="仿宋_GB2312"/>
          <w:sz w:val="32"/>
          <w:szCs w:val="32"/>
          <w:lang w:val="en-US" w:eastAsia="zh-CN"/>
        </w:rPr>
        <w:t xml:space="preserve">    </w:t>
      </w:r>
    </w:p>
    <w:permEnd w:id="26"/>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7" w:edGrp="everyone"/>
      <w:r>
        <w:rPr>
          <w:rFonts w:hint="eastAsia" w:ascii="仿宋_GB2312" w:hAnsi="仿宋_GB2312" w:eastAsia="仿宋_GB2312" w:cs="仿宋_GB2312"/>
          <w:sz w:val="32"/>
          <w:szCs w:val="32"/>
          <w:lang w:val="en-US" w:eastAsia="zh-CN"/>
        </w:rPr>
        <w:t xml:space="preserve">     </w:t>
      </w:r>
    </w:p>
    <w:permEnd w:id="27"/>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28" w:edGrp="everyone"/>
      <w:r>
        <w:rPr>
          <w:rFonts w:hint="eastAsia" w:ascii="仿宋_GB2312" w:hAnsi="仿宋_GB2312" w:eastAsia="仿宋_GB2312" w:cs="仿宋_GB2312"/>
          <w:sz w:val="32"/>
          <w:szCs w:val="32"/>
          <w:lang w:val="en-US" w:eastAsia="zh-CN"/>
        </w:rPr>
        <w:t xml:space="preserve">     </w:t>
      </w:r>
    </w:p>
    <w:permEnd w:id="28"/>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29"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29"/>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0" w:edGrp="everyone"/>
      <w:r>
        <w:rPr>
          <w:rFonts w:hint="eastAsia" w:ascii="仿宋_GB2312" w:hAnsi="仿宋_GB2312" w:eastAsia="仿宋_GB2312" w:cs="仿宋_GB2312"/>
          <w:sz w:val="32"/>
          <w:szCs w:val="32"/>
          <w:lang w:val="en-US" w:eastAsia="zh-CN"/>
        </w:rPr>
        <w:t xml:space="preserve">      </w:t>
      </w:r>
    </w:p>
    <w:permEnd w:id="30"/>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话：0898-65710083</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1" w:edGrp="everyone"/>
      <w:r>
        <w:rPr>
          <w:rFonts w:hint="eastAsia" w:ascii="仿宋_GB2312" w:hAnsi="仿宋_GB2312" w:eastAsia="仿宋_GB2312" w:cs="仿宋_GB2312"/>
          <w:sz w:val="32"/>
          <w:szCs w:val="32"/>
          <w:u w:val="single"/>
        </w:rPr>
        <w:t xml:space="preserve">     </w:t>
      </w:r>
      <w:permEnd w:id="31"/>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2"/>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3" w:edGrp="everyone"/>
      <w:r>
        <w:rPr>
          <w:rFonts w:hint="eastAsia" w:ascii="仿宋_GB2312" w:hAnsi="仿宋_GB2312" w:eastAsia="仿宋_GB2312" w:cs="仿宋_GB2312"/>
          <w:sz w:val="32"/>
          <w:szCs w:val="32"/>
          <w:u w:val="single"/>
        </w:rPr>
        <w:t>甲方指定卸货地点</w:t>
      </w:r>
      <w:permEnd w:id="33"/>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  ]日内书面提出，逾期未提出书面异议，视为甲方对货物数量、规格型号验收合格，开始进入质量保证期。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 ]日内通知乙方，并征得乙方同意。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4" w:edGrp="everyone"/>
      <w:r>
        <w:rPr>
          <w:rFonts w:hint="eastAsia" w:ascii="仿宋_GB2312" w:hAnsi="仿宋_GB2312" w:eastAsia="仿宋_GB2312" w:cs="仿宋_GB2312"/>
          <w:sz w:val="32"/>
          <w:szCs w:val="32"/>
          <w:u w:val="single"/>
        </w:rPr>
        <w:t xml:space="preserve">    </w:t>
      </w:r>
      <w:permEnd w:id="34"/>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5" w:edGrp="everyone"/>
      <w:r>
        <w:rPr>
          <w:rFonts w:hint="eastAsia" w:ascii="仿宋_GB2312" w:hAnsi="仿宋_GB2312" w:eastAsia="仿宋_GB2312" w:cs="仿宋_GB2312"/>
          <w:sz w:val="32"/>
          <w:szCs w:val="32"/>
          <w:u w:val="single"/>
        </w:rPr>
        <w:t xml:space="preserve">     </w:t>
      </w:r>
      <w:permEnd w:id="35"/>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36" w:edGrp="everyone"/>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3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7"/>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38" w:edGrp="everyone"/>
      <w:r>
        <w:rPr>
          <w:rFonts w:hint="eastAsia" w:ascii="仿宋_GB2312" w:hAnsi="仿宋_GB2312" w:eastAsia="仿宋_GB2312" w:cs="仿宋_GB2312"/>
          <w:sz w:val="32"/>
          <w:szCs w:val="32"/>
          <w:lang w:val="en-US" w:eastAsia="zh-CN"/>
        </w:rPr>
        <w:t xml:space="preserve">     </w:t>
      </w:r>
    </w:p>
    <w:permEnd w:id="38"/>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39" w:edGrp="everyone"/>
      <w:r>
        <w:rPr>
          <w:rFonts w:hint="eastAsia" w:ascii="仿宋_GB2312" w:hAnsi="仿宋_GB2312" w:eastAsia="仿宋_GB2312" w:cs="仿宋_GB2312"/>
          <w:sz w:val="32"/>
          <w:szCs w:val="32"/>
          <w:lang w:val="en-US" w:eastAsia="zh-CN"/>
        </w:rPr>
        <w:t xml:space="preserve">     </w:t>
      </w:r>
    </w:p>
    <w:permEnd w:id="39"/>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0" w:edGrp="everyone"/>
      <w:r>
        <w:rPr>
          <w:rFonts w:hint="eastAsia" w:ascii="仿宋_GB2312" w:hAnsi="仿宋_GB2312" w:eastAsia="仿宋_GB2312" w:cs="仿宋_GB2312"/>
          <w:sz w:val="32"/>
          <w:szCs w:val="32"/>
          <w:lang w:val="en-US" w:eastAsia="zh-CN"/>
        </w:rPr>
        <w:t xml:space="preserve">     </w:t>
      </w:r>
    </w:p>
    <w:permEnd w:id="40"/>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1" w:edGrp="everyone"/>
      <w:r>
        <w:rPr>
          <w:rFonts w:hint="eastAsia" w:ascii="仿宋_GB2312" w:hAnsi="仿宋_GB2312" w:eastAsia="仿宋_GB2312" w:cs="仿宋_GB2312"/>
          <w:sz w:val="32"/>
          <w:szCs w:val="32"/>
          <w:lang w:val="en-US" w:eastAsia="zh-CN"/>
        </w:rPr>
        <w:t xml:space="preserve">     </w:t>
      </w:r>
    </w:p>
    <w:permEnd w:id="41"/>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 xml:space="preserve">     </w:t>
      </w:r>
    </w:p>
    <w:permEnd w:id="42"/>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 xml:space="preserve">     </w:t>
      </w:r>
    </w:p>
    <w:permEnd w:id="43"/>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4"/>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5"/>
      <w:r>
        <w:rPr>
          <w:rFonts w:hint="eastAsia" w:ascii="仿宋_GB2312" w:hAnsi="仿宋_GB2312" w:eastAsia="仿宋_GB2312" w:cs="仿宋_GB2312"/>
          <w:sz w:val="32"/>
          <w:szCs w:val="32"/>
        </w:rPr>
        <w:t>份，由甲方执</w:t>
      </w:r>
      <w:permStart w:id="4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6"/>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4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7"/>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48"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48"/>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49" w:edGrp="everyone"/>
            <w:r>
              <w:rPr>
                <w:rFonts w:hint="eastAsia" w:ascii="仿宋_GB2312" w:hAnsi="仿宋_GB2312" w:eastAsia="仿宋_GB2312" w:cs="仿宋_GB2312"/>
                <w:sz w:val="32"/>
                <w:szCs w:val="32"/>
                <w:lang w:val="en-US" w:eastAsia="zh-CN"/>
              </w:rPr>
              <w:t xml:space="preserve">     </w:t>
            </w:r>
            <w:permEnd w:id="49"/>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0" w:edGrp="everyone"/>
      <w:r>
        <w:rPr>
          <w:rFonts w:hint="eastAsia" w:ascii="仿宋_GB2312" w:hAnsi="仿宋_GB2312" w:eastAsia="仿宋_GB2312" w:cs="仿宋_GB2312"/>
          <w:sz w:val="32"/>
          <w:szCs w:val="32"/>
        </w:rPr>
        <w:t xml:space="preserve">    </w:t>
      </w:r>
      <w:permEnd w:id="50"/>
      <w:r>
        <w:rPr>
          <w:rFonts w:hint="eastAsia" w:ascii="仿宋_GB2312" w:hAnsi="仿宋_GB2312" w:eastAsia="仿宋_GB2312" w:cs="仿宋_GB2312"/>
          <w:sz w:val="32"/>
          <w:szCs w:val="32"/>
        </w:rPr>
        <w:t>年</w:t>
      </w:r>
      <w:permStart w:id="51" w:edGrp="everyone"/>
      <w:r>
        <w:rPr>
          <w:rFonts w:hint="eastAsia" w:ascii="仿宋_GB2312" w:hAnsi="仿宋_GB2312" w:eastAsia="仿宋_GB2312" w:cs="仿宋_GB2312"/>
          <w:sz w:val="32"/>
          <w:szCs w:val="32"/>
        </w:rPr>
        <w:t xml:space="preserve">    </w:t>
      </w:r>
      <w:permEnd w:id="51"/>
      <w:r>
        <w:rPr>
          <w:rFonts w:hint="eastAsia" w:ascii="仿宋_GB2312" w:hAnsi="仿宋_GB2312" w:eastAsia="仿宋_GB2312" w:cs="仿宋_GB2312"/>
          <w:sz w:val="32"/>
          <w:szCs w:val="32"/>
        </w:rPr>
        <w:t>月</w:t>
      </w:r>
      <w:permStart w:id="52" w:edGrp="everyone"/>
      <w:r>
        <w:rPr>
          <w:rFonts w:hint="eastAsia" w:ascii="仿宋_GB2312" w:hAnsi="仿宋_GB2312" w:eastAsia="仿宋_GB2312" w:cs="仿宋_GB2312"/>
          <w:sz w:val="32"/>
          <w:szCs w:val="32"/>
        </w:rPr>
        <w:t xml:space="preserve">    </w:t>
      </w:r>
      <w:permEnd w:id="52"/>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F8E40E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0AE692F">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3BB9D18">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5F68599A">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3"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3"/>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p w14:paraId="58C9B376">
      <w:pPr>
        <w:spacing w:line="360" w:lineRule="auto"/>
        <w:ind w:left="-65" w:leftChars="-27" w:firstLine="22" w:firstLineChars="7"/>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bidi="ar"/>
        </w:rPr>
        <w:t>甲方（章）：海南省桂林洋公用    乙方：（章）</w:t>
      </w:r>
      <w:permStart w:id="54" w:edGrp="everyone"/>
      <w:r>
        <w:rPr>
          <w:rFonts w:hint="eastAsia" w:ascii="仿宋_GB2312" w:hAnsi="仿宋_GB2312" w:eastAsia="仿宋_GB2312" w:cs="仿宋_GB2312"/>
          <w:kern w:val="2"/>
          <w:sz w:val="32"/>
          <w:szCs w:val="32"/>
          <w:lang w:val="en-US" w:eastAsia="zh-CN" w:bidi="ar"/>
        </w:rPr>
        <w:t xml:space="preserve">     </w:t>
      </w:r>
    </w:p>
    <w:permEnd w:id="54"/>
    <w:p w14:paraId="4CF6890A">
      <w:pPr>
        <w:spacing w:line="360" w:lineRule="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事业发展有限公司                               </w:t>
      </w:r>
    </w:p>
    <w:p w14:paraId="28F40FF0">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年</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月</w:t>
      </w:r>
      <w:permStart w:id="57" w:edGrp="everyone"/>
      <w:r>
        <w:rPr>
          <w:rFonts w:hint="eastAsia" w:ascii="仿宋_GB2312" w:hAnsi="仿宋_GB2312" w:eastAsia="仿宋_GB2312" w:cs="仿宋_GB2312"/>
          <w:sz w:val="32"/>
          <w:szCs w:val="32"/>
        </w:rPr>
        <w:t xml:space="preserve">    </w:t>
      </w:r>
      <w:permEnd w:id="57"/>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58" w:edGrp="everyone"/>
      <w:r>
        <w:rPr>
          <w:rFonts w:hint="eastAsia" w:ascii="仿宋_GB2312" w:hAnsi="仿宋_GB2312" w:eastAsia="仿宋_GB2312" w:cs="仿宋_GB2312"/>
          <w:sz w:val="32"/>
          <w:szCs w:val="32"/>
          <w:lang w:val="en-US" w:eastAsia="zh-CN"/>
        </w:rPr>
        <w:t xml:space="preserve">            </w:t>
      </w:r>
    </w:p>
    <w:permEnd w:id="58"/>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9" w:edGrp="everyone"/>
            <w:r>
              <w:rPr>
                <w:rFonts w:hint="eastAsia" w:ascii="仿宋_GB2312" w:hAnsi="仿宋_GB2312" w:eastAsia="仿宋_GB2312" w:cs="仿宋_GB2312"/>
                <w:sz w:val="32"/>
                <w:szCs w:val="32"/>
                <w:lang w:val="en-US" w:eastAsia="zh-CN"/>
              </w:rPr>
              <w:t xml:space="preserve">        </w:t>
            </w:r>
            <w:permEnd w:id="59"/>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年</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月</w:t>
      </w:r>
      <w:permStart w:id="62" w:edGrp="everyone"/>
      <w:r>
        <w:rPr>
          <w:rFonts w:hint="eastAsia" w:ascii="仿宋_GB2312" w:hAnsi="仿宋_GB2312" w:eastAsia="仿宋_GB2312" w:cs="仿宋_GB2312"/>
          <w:sz w:val="32"/>
          <w:szCs w:val="32"/>
        </w:rPr>
        <w:t xml:space="preserve">   </w:t>
      </w:r>
      <w:permEnd w:id="62"/>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3" w:edGrp="everyone"/>
      <w:r>
        <w:rPr>
          <w:rFonts w:hint="eastAsia" w:ascii="仿宋_GB2312" w:hAnsi="仿宋_GB2312" w:eastAsia="仿宋_GB2312" w:cs="仿宋_GB2312"/>
          <w:sz w:val="32"/>
          <w:szCs w:val="32"/>
          <w:lang w:bidi="ar"/>
        </w:rPr>
        <w:t xml:space="preserve">                </w:t>
      </w:r>
    </w:p>
    <w:permEnd w:id="63"/>
    <w:p w14:paraId="063054D9">
      <w:pPr>
        <w:pStyle w:val="9"/>
        <w:spacing w:before="0" w:beforeAutospacing="0" w:after="0" w:afterAutospacing="0" w:line="560" w:lineRule="exact"/>
        <w:ind w:firstLine="3840" w:firstLineChars="1200"/>
        <w:rPr>
          <w:rFonts w:hint="eastAsia" w:ascii="仿宋_GB2312" w:hAnsi="仿宋_GB2312" w:eastAsia="仿宋_GB2312" w:cs="仿宋_GB2312"/>
          <w:kern w:val="2"/>
          <w:sz w:val="32"/>
          <w:szCs w:val="32"/>
          <w:lang w:bidi="ar"/>
        </w:rPr>
      </w:pPr>
      <w:r>
        <w:rPr>
          <w:rFonts w:hint="eastAsia" w:ascii="仿宋_GB2312" w:hAnsi="仿宋_GB2312" w:eastAsia="仿宋_GB2312" w:cs="仿宋_GB2312"/>
          <w:sz w:val="32"/>
          <w:szCs w:val="32"/>
          <w:lang w:bidi="ar"/>
        </w:rPr>
        <w:t>日期：</w:t>
      </w:r>
      <w:permStart w:id="64" w:edGrp="everyone"/>
      <w:r>
        <w:rPr>
          <w:rFonts w:hint="eastAsia" w:ascii="仿宋_GB2312" w:hAnsi="仿宋_GB2312" w:eastAsia="仿宋_GB2312" w:cs="仿宋_GB2312"/>
          <w:sz w:val="32"/>
          <w:szCs w:val="32"/>
          <w:lang w:bidi="ar"/>
        </w:rPr>
        <w:t xml:space="preserve">     </w:t>
      </w:r>
      <w:permEnd w:id="64"/>
      <w:r>
        <w:rPr>
          <w:rFonts w:hint="eastAsia" w:ascii="仿宋_GB2312" w:hAnsi="仿宋_GB2312" w:eastAsia="仿宋_GB2312" w:cs="仿宋_GB2312"/>
          <w:sz w:val="32"/>
          <w:szCs w:val="32"/>
          <w:lang w:bidi="ar"/>
        </w:rPr>
        <w:t>年</w:t>
      </w:r>
      <w:permStart w:id="65" w:edGrp="everyone"/>
      <w:r>
        <w:rPr>
          <w:rFonts w:hint="eastAsia" w:ascii="仿宋_GB2312" w:hAnsi="仿宋_GB2312" w:eastAsia="仿宋_GB2312" w:cs="仿宋_GB2312"/>
          <w:sz w:val="32"/>
          <w:szCs w:val="32"/>
          <w:lang w:bidi="ar"/>
        </w:rPr>
        <w:t xml:space="preserve">   </w:t>
      </w:r>
      <w:permEnd w:id="65"/>
      <w:r>
        <w:rPr>
          <w:rFonts w:hint="eastAsia" w:ascii="仿宋_GB2312" w:hAnsi="仿宋_GB2312" w:eastAsia="仿宋_GB2312" w:cs="仿宋_GB2312"/>
          <w:sz w:val="32"/>
          <w:szCs w:val="32"/>
          <w:lang w:bidi="ar"/>
        </w:rPr>
        <w:t>月</w:t>
      </w:r>
      <w:permStart w:id="66" w:edGrp="everyone"/>
      <w:r>
        <w:rPr>
          <w:rFonts w:hint="eastAsia" w:ascii="仿宋_GB2312" w:hAnsi="仿宋_GB2312" w:eastAsia="仿宋_GB2312" w:cs="仿宋_GB2312"/>
          <w:sz w:val="32"/>
          <w:szCs w:val="32"/>
          <w:lang w:bidi="ar"/>
        </w:rPr>
        <w:t xml:space="preserve">   </w:t>
      </w:r>
      <w:permEnd w:id="66"/>
      <w:r>
        <w:rPr>
          <w:rFonts w:hint="eastAsia" w:ascii="仿宋_GB2312" w:hAnsi="仿宋_GB2312" w:eastAsia="仿宋_GB2312" w:cs="仿宋_GB2312"/>
          <w:sz w:val="32"/>
          <w:szCs w:val="32"/>
          <w:lang w:bidi="ar"/>
        </w:rPr>
        <w:t>日</w:t>
      </w: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E20F53-8509-4185-8FBD-C2704F8BDA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F8DF6A-7FC7-4FE6-AF31-492410F91071}"/>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6317CF35-BBA2-408D-B6E3-B3539C305550}"/>
  </w:font>
  <w:font w:name="方正小标宋_GBK">
    <w:panose1 w:val="03000509000000000000"/>
    <w:charset w:val="86"/>
    <w:family w:val="auto"/>
    <w:pitch w:val="default"/>
    <w:sig w:usb0="00000001" w:usb1="080E0000" w:usb2="00000000" w:usb3="00000000" w:csb0="00040000" w:csb1="00000000"/>
    <w:embedRegular r:id="rId4" w:fontKey="{AF74576B-C187-4285-ABDF-63F24ED3B109}"/>
  </w:font>
  <w:font w:name="微软雅黑">
    <w:panose1 w:val="020B0503020204020204"/>
    <w:charset w:val="86"/>
    <w:family w:val="swiss"/>
    <w:pitch w:val="default"/>
    <w:sig w:usb0="80000287" w:usb1="2ACF3C50" w:usb2="00000016" w:usb3="00000000" w:csb0="0004001F" w:csb1="00000000"/>
    <w:embedRegular r:id="rId5" w:fontKey="{3553A0BF-646B-4D92-9867-E2EED18632CD}"/>
  </w:font>
  <w:font w:name="楷体_GB2312">
    <w:panose1 w:val="02010609030101010101"/>
    <w:charset w:val="86"/>
    <w:family w:val="modern"/>
    <w:pitch w:val="default"/>
    <w:sig w:usb0="00000001" w:usb1="080E0000" w:usb2="00000000" w:usb3="00000000" w:csb0="00040000" w:csb1="00000000"/>
    <w:embedRegular r:id="rId6" w:fontKey="{812C90D5-041C-4D05-B080-867AE92F502E}"/>
  </w:font>
  <w:font w:name="仿宋">
    <w:panose1 w:val="02010609060101010101"/>
    <w:charset w:val="86"/>
    <w:family w:val="modern"/>
    <w:pitch w:val="default"/>
    <w:sig w:usb0="800002BF" w:usb1="38CF7CFA" w:usb2="00000016" w:usb3="00000000" w:csb0="00040001" w:csb1="00000000"/>
    <w:embedRegular r:id="rId7" w:fontKey="{4F1AC650-0634-44DA-9762-B3B5548C92A5}"/>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NHt7HeHYGL8DKaoAzczdE12f/mc=" w:salt="xMVOVpMGT9nKe0USEzrKNw=="/>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3YzhiMjMxNzM0MDU2NTVlZGViNjg3Nzg5MjhlYjM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89932EF"/>
    <w:rsid w:val="0C5656B9"/>
    <w:rsid w:val="0F9B6DA7"/>
    <w:rsid w:val="10327AD8"/>
    <w:rsid w:val="108D2A4C"/>
    <w:rsid w:val="11E82169"/>
    <w:rsid w:val="12697D8A"/>
    <w:rsid w:val="17410D7F"/>
    <w:rsid w:val="18BA018A"/>
    <w:rsid w:val="1E5631AE"/>
    <w:rsid w:val="21C21147"/>
    <w:rsid w:val="233E0325"/>
    <w:rsid w:val="288E6799"/>
    <w:rsid w:val="2D722B45"/>
    <w:rsid w:val="2F2F1192"/>
    <w:rsid w:val="30F83626"/>
    <w:rsid w:val="3242459D"/>
    <w:rsid w:val="34032819"/>
    <w:rsid w:val="358C2241"/>
    <w:rsid w:val="386F6308"/>
    <w:rsid w:val="394737F9"/>
    <w:rsid w:val="42F05023"/>
    <w:rsid w:val="43A3484B"/>
    <w:rsid w:val="466749DB"/>
    <w:rsid w:val="4D46189C"/>
    <w:rsid w:val="4E69137E"/>
    <w:rsid w:val="53771964"/>
    <w:rsid w:val="55BE263A"/>
    <w:rsid w:val="566C6C28"/>
    <w:rsid w:val="5CE14B6F"/>
    <w:rsid w:val="5D1E47D6"/>
    <w:rsid w:val="5EF514B1"/>
    <w:rsid w:val="66D10070"/>
    <w:rsid w:val="681C097A"/>
    <w:rsid w:val="6A94571E"/>
    <w:rsid w:val="6DDB64D2"/>
    <w:rsid w:val="75E91E50"/>
    <w:rsid w:val="76C21265"/>
    <w:rsid w:val="77AD7E94"/>
    <w:rsid w:val="785B5C5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5815</Words>
  <Characters>5916</Characters>
  <Lines>46</Lines>
  <Paragraphs>13</Paragraphs>
  <TotalTime>4</TotalTime>
  <ScaleCrop>false</ScaleCrop>
  <LinksUpToDate>false</LinksUpToDate>
  <CharactersWithSpaces>6454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林志崧</cp:lastModifiedBy>
  <cp:lastPrinted>2024-11-15T01:27:00Z</cp:lastPrinted>
  <dcterms:modified xsi:type="dcterms:W3CDTF">2025-08-07T00:45:54Z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3F1AC479682E43BCB7227D57955BAEB8_13</vt:lpwstr>
  </property>
  <property fmtid="{D5CDD505-2E9C-101B-9397-08002B2CF9AE}" pid="4" name="KSOTemplateDocerSaveRecord">
    <vt:lpwstr>eyJoZGlkIjoiMTM3YzhiMjMxNzM0MDU2NTVlZGViNjg3Nzg5MjhlYjMiLCJ1c2VySWQiOiIxNjg2MjE2MDQxIn0=</vt:lpwstr>
  </property>
</Properties>
</file>